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FA34A" w14:textId="2F0E768F" w:rsidR="00B0339B" w:rsidRDefault="000C3D20" w:rsidP="000F057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D34D64F" w14:textId="557003FD"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756F99E6" w14:textId="1E46F951"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4555EF6E" w14:textId="0E8307ED"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54958637" w14:textId="77777777" w:rsidR="000F057A" w:rsidRDefault="000C3D20" w:rsidP="000F057A">
      <w:pPr>
        <w:spacing w:line="480" w:lineRule="auto"/>
        <w:jc w:val="center"/>
        <w:rPr>
          <w:rFonts w:ascii="Times New Roman" w:hAnsi="Times New Roman" w:cs="Times New Roman"/>
          <w:sz w:val="24"/>
          <w:szCs w:val="24"/>
        </w:rPr>
      </w:pPr>
      <w:r>
        <w:rPr>
          <w:rFonts w:ascii="Times New Roman" w:hAnsi="Times New Roman" w:cs="Times New Roman"/>
          <w:sz w:val="24"/>
          <w:szCs w:val="24"/>
        </w:rPr>
        <w:t>Definition of Terms</w:t>
      </w:r>
    </w:p>
    <w:p w14:paraId="3FC8004F" w14:textId="5B3CAD7F" w:rsidR="00A70213"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br/>
      </w:r>
      <w:r w:rsidR="000F057A">
        <w:rPr>
          <w:rFonts w:ascii="Times New Roman" w:hAnsi="Times New Roman" w:cs="Times New Roman"/>
          <w:b/>
          <w:sz w:val="24"/>
          <w:szCs w:val="24"/>
        </w:rPr>
        <w:t xml:space="preserve">             </w:t>
      </w:r>
      <w:r w:rsidR="008672F0" w:rsidRPr="00B0339B">
        <w:rPr>
          <w:rFonts w:ascii="Times New Roman" w:hAnsi="Times New Roman" w:cs="Times New Roman"/>
          <w:b/>
          <w:sz w:val="24"/>
          <w:szCs w:val="24"/>
        </w:rPr>
        <w:t>Risk evaluation</w:t>
      </w:r>
      <w:r w:rsidR="008672F0" w:rsidRPr="00B0339B">
        <w:rPr>
          <w:rFonts w:ascii="Times New Roman" w:hAnsi="Times New Roman" w:cs="Times New Roman"/>
          <w:sz w:val="24"/>
          <w:szCs w:val="24"/>
        </w:rPr>
        <w:t xml:space="preserve"> is the process of classifying and evaluating risk. A reflective business process applied to investments, projects, programs, and operations. The method of risk evaluation procedure to be followed for its practical working. The steps are identification, probability, and effect, the moment of risk, treatment of the threat, secondary risk, residual risk and the last step is mon</w:t>
      </w:r>
      <w:r w:rsidR="00DD7795">
        <w:rPr>
          <w:rFonts w:ascii="Times New Roman" w:hAnsi="Times New Roman" w:cs="Times New Roman"/>
          <w:sz w:val="24"/>
          <w:szCs w:val="24"/>
        </w:rPr>
        <w:t>itoring and reviewing (Buratti 1049-1130).</w:t>
      </w:r>
    </w:p>
    <w:p w14:paraId="322CB76C" w14:textId="77777777" w:rsidR="008672F0" w:rsidRPr="00B0339B" w:rsidRDefault="000C3D20" w:rsidP="000F057A">
      <w:pPr>
        <w:spacing w:line="480" w:lineRule="auto"/>
        <w:ind w:firstLine="720"/>
        <w:rPr>
          <w:rFonts w:ascii="Times New Roman" w:hAnsi="Times New Roman" w:cs="Times New Roman"/>
          <w:sz w:val="24"/>
          <w:szCs w:val="24"/>
        </w:rPr>
      </w:pPr>
      <w:commentRangeStart w:id="1"/>
      <w:r w:rsidRPr="00B0339B">
        <w:rPr>
          <w:rFonts w:ascii="Times New Roman" w:hAnsi="Times New Roman" w:cs="Times New Roman"/>
          <w:b/>
          <w:sz w:val="24"/>
          <w:szCs w:val="24"/>
        </w:rPr>
        <w:t>Plans to mitigate essential risks</w:t>
      </w:r>
      <w:commentRangeEnd w:id="1"/>
      <w:r>
        <w:rPr>
          <w:rStyle w:val="CommentReference"/>
        </w:rPr>
        <w:commentReference w:id="2"/>
      </w:r>
      <w:r>
        <w:rPr>
          <w:rStyle w:val="CommentReference"/>
        </w:rPr>
        <w:commentReference w:id="3"/>
      </w:r>
      <w:r w:rsidRPr="00B0339B">
        <w:rPr>
          <w:rFonts w:ascii="Times New Roman" w:hAnsi="Times New Roman" w:cs="Times New Roman"/>
          <w:sz w:val="24"/>
          <w:szCs w:val="24"/>
        </w:rPr>
        <w:t xml:space="preserve">. The </w:t>
      </w:r>
      <w:r w:rsidR="00EB19BF" w:rsidRPr="00B0339B">
        <w:rPr>
          <w:rFonts w:ascii="Times New Roman" w:hAnsi="Times New Roman" w:cs="Times New Roman"/>
          <w:sz w:val="24"/>
          <w:szCs w:val="24"/>
        </w:rPr>
        <w:t>ultimate goal of risk evaluation is to prepare mitigation</w:t>
      </w:r>
      <w:commentRangeStart w:id="4"/>
      <w:commentRangeStart w:id="5"/>
      <w:commentRangeStart w:id="6"/>
      <w:r w:rsidR="00EB19BF" w:rsidRPr="00B0339B">
        <w:rPr>
          <w:rFonts w:ascii="Times New Roman" w:hAnsi="Times New Roman" w:cs="Times New Roman"/>
          <w:sz w:val="24"/>
          <w:szCs w:val="24"/>
        </w:rPr>
        <w:t xml:space="preserve"> strategies. Consequently, risk mitigation needs effective planning.  As such, risk mitigation strategies are concrete action plans that should be included in project execution plans, which should feature the significant causes of the risk identified and its quantification, alternative reduction approaches, evaluate the prioritised mitigation approaches and commit resources necessary for the mitigation </w:t>
      </w:r>
      <w:commentRangeEnd w:id="6"/>
      <w:r>
        <w:rPr>
          <w:rStyle w:val="CommentReference"/>
        </w:rPr>
        <w:commentReference w:id="7"/>
      </w:r>
      <w:commentRangeEnd w:id="5"/>
      <w:r>
        <w:rPr>
          <w:rStyle w:val="CommentReference"/>
        </w:rPr>
        <w:commentReference w:id="8"/>
      </w:r>
      <w:commentRangeEnd w:id="4"/>
      <w:r>
        <w:rPr>
          <w:rStyle w:val="CommentReference"/>
        </w:rPr>
        <w:commentReference w:id="9"/>
      </w:r>
      <w:r w:rsidR="00F11303">
        <w:rPr>
          <w:rFonts w:ascii="Times New Roman" w:hAnsi="Times New Roman" w:cs="Times New Roman"/>
          <w:sz w:val="24"/>
          <w:szCs w:val="24"/>
        </w:rPr>
        <w:t>procedures (Buratti 1049-1130).</w:t>
      </w:r>
      <w:r>
        <w:rPr>
          <w:rStyle w:val="CommentReference"/>
        </w:rPr>
        <w:commentReference w:id="1"/>
      </w:r>
      <w:r>
        <w:rPr>
          <w:rStyle w:val="CommentReference"/>
        </w:rPr>
        <w:commentReference w:id="4"/>
      </w:r>
      <w:r>
        <w:rPr>
          <w:rStyle w:val="CommentReference"/>
        </w:rPr>
        <w:commentReference w:id="5"/>
      </w:r>
      <w:r>
        <w:rPr>
          <w:rStyle w:val="CommentReference"/>
        </w:rPr>
        <w:commentReference w:id="6"/>
      </w:r>
    </w:p>
    <w:p w14:paraId="78856C78" w14:textId="77777777" w:rsidR="00EB19BF"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Insurance and assignment</w:t>
      </w:r>
      <w:r w:rsidRPr="00B0339B">
        <w:rPr>
          <w:rFonts w:ascii="Times New Roman" w:hAnsi="Times New Roman" w:cs="Times New Roman"/>
          <w:sz w:val="24"/>
          <w:szCs w:val="24"/>
        </w:rPr>
        <w:t xml:space="preserve">. </w:t>
      </w:r>
      <w:r w:rsidR="00EE789B" w:rsidRPr="00B0339B">
        <w:rPr>
          <w:rFonts w:ascii="Times New Roman" w:hAnsi="Times New Roman" w:cs="Times New Roman"/>
          <w:sz w:val="24"/>
          <w:szCs w:val="24"/>
        </w:rPr>
        <w:t xml:space="preserve">Coverage is an approach to risk management profoundly used to evade alongside the risk of a reliant and unclean losses. As such, insurance compensates the loss, therefore, returning the investor to his/her financial position. On the other hand, the </w:t>
      </w:r>
      <w:r w:rsidR="00EE789B" w:rsidRPr="00B0339B">
        <w:rPr>
          <w:rFonts w:ascii="Times New Roman" w:hAnsi="Times New Roman" w:cs="Times New Roman"/>
          <w:sz w:val="24"/>
          <w:szCs w:val="24"/>
        </w:rPr>
        <w:lastRenderedPageBreak/>
        <w:t xml:space="preserve">assignment is to commission, allocate or contract responsibility to business enterprises </w:t>
      </w:r>
      <w:r w:rsidR="00F11303">
        <w:rPr>
          <w:rFonts w:ascii="Times New Roman" w:hAnsi="Times New Roman" w:cs="Times New Roman"/>
          <w:sz w:val="24"/>
          <w:szCs w:val="24"/>
        </w:rPr>
        <w:t>to perform specified functions (Lin 142-148).</w:t>
      </w:r>
    </w:p>
    <w:p w14:paraId="643DC05D" w14:textId="77777777" w:rsidR="00EE789B"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Contingencies</w:t>
      </w:r>
      <w:r w:rsidRPr="00B0339B">
        <w:rPr>
          <w:rFonts w:ascii="Times New Roman" w:hAnsi="Times New Roman" w:cs="Times New Roman"/>
          <w:sz w:val="24"/>
          <w:szCs w:val="24"/>
        </w:rPr>
        <w:t xml:space="preserve">. These are </w:t>
      </w:r>
      <w:r w:rsidR="005C1F9C" w:rsidRPr="00B0339B">
        <w:rPr>
          <w:rFonts w:ascii="Times New Roman" w:hAnsi="Times New Roman" w:cs="Times New Roman"/>
          <w:sz w:val="24"/>
          <w:szCs w:val="24"/>
        </w:rPr>
        <w:t xml:space="preserve">steps that must be fulfilled before an action is taken or the contract is executed. As such, a plan is developed and an establishment prescribed. As such, the business prepares itself for possible risks. An effective contingency plan must include and predict any event that might affect a company negatively or positively like </w:t>
      </w:r>
      <w:r w:rsidR="00F11303">
        <w:rPr>
          <w:rFonts w:ascii="Times New Roman" w:hAnsi="Times New Roman" w:cs="Times New Roman"/>
          <w:sz w:val="24"/>
          <w:szCs w:val="24"/>
        </w:rPr>
        <w:t>data loss and natural disasters (Buratti 1049-1130).</w:t>
      </w:r>
    </w:p>
    <w:p w14:paraId="58FCD2D3" w14:textId="77777777" w:rsidR="005C1F9C"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Action Plans</w:t>
      </w:r>
      <w:r w:rsidRPr="00B0339B">
        <w:rPr>
          <w:rFonts w:ascii="Times New Roman" w:hAnsi="Times New Roman" w:cs="Times New Roman"/>
          <w:sz w:val="24"/>
          <w:szCs w:val="24"/>
        </w:rPr>
        <w:t>.</w:t>
      </w:r>
      <w:commentRangeStart w:id="10"/>
      <w:r w:rsidR="00B0339B" w:rsidRPr="00B0339B">
        <w:rPr>
          <w:rFonts w:ascii="Times New Roman" w:hAnsi="Times New Roman" w:cs="Times New Roman"/>
          <w:sz w:val="24"/>
          <w:szCs w:val="24"/>
        </w:rPr>
        <w:t xml:space="preserve"> Action plans are documents with the strategies set on hoe to realise given goals. As such, effective action planning demands one to</w:t>
      </w:r>
      <w:commentRangeEnd w:id="10"/>
      <w:r>
        <w:rPr>
          <w:rStyle w:val="CommentReference"/>
        </w:rPr>
        <w:commentReference w:id="11"/>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s</w:t>
      </w:r>
      <w:r w:rsidRPr="00B0339B">
        <w:rPr>
          <w:rFonts w:ascii="Times New Roman" w:hAnsi="Times New Roman" w:cs="Times New Roman"/>
          <w:sz w:val="24"/>
          <w:szCs w:val="24"/>
        </w:rPr>
        <w:t>et your goals and ensure they are specific</w:t>
      </w:r>
      <w:r w:rsidR="00B0339B" w:rsidRPr="00B0339B">
        <w:rPr>
          <w:rFonts w:ascii="Times New Roman" w:hAnsi="Times New Roman" w:cs="Times New Roman"/>
          <w:sz w:val="24"/>
          <w:szCs w:val="24"/>
        </w:rPr>
        <w:t>, measurable</w:t>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attainable, and relevant</w:t>
      </w:r>
      <w:r w:rsidRPr="00B0339B">
        <w:rPr>
          <w:rFonts w:ascii="Times New Roman" w:hAnsi="Times New Roman" w:cs="Times New Roman"/>
          <w:sz w:val="24"/>
          <w:szCs w:val="24"/>
        </w:rPr>
        <w:t xml:space="preserve"> and </w:t>
      </w:r>
      <w:r w:rsidRPr="00B0339B">
        <w:rPr>
          <w:rFonts w:ascii="Times New Roman" w:hAnsi="Times New Roman" w:cs="Times New Roman"/>
          <w:sz w:val="24"/>
          <w:szCs w:val="24"/>
        </w:rPr>
        <w:t>time-bound.</w:t>
      </w:r>
      <w:r w:rsidR="00B0339B" w:rsidRPr="00B0339B">
        <w:rPr>
          <w:rFonts w:ascii="Times New Roman" w:hAnsi="Times New Roman" w:cs="Times New Roman"/>
          <w:sz w:val="24"/>
          <w:szCs w:val="24"/>
        </w:rPr>
        <w:t xml:space="preserve"> </w:t>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Also, a t</w:t>
      </w:r>
      <w:commentRangeStart w:id="12"/>
      <w:r w:rsidRPr="00B0339B">
        <w:rPr>
          <w:rFonts w:ascii="Times New Roman" w:hAnsi="Times New Roman" w:cs="Times New Roman"/>
          <w:sz w:val="24"/>
          <w:szCs w:val="24"/>
        </w:rPr>
        <w:t>arget must work towards the set objectives, determine what needs to happen to realise your goals</w:t>
      </w:r>
      <w:commentRangeEnd w:id="12"/>
      <w:r>
        <w:rPr>
          <w:rStyle w:val="CommentReference"/>
        </w:rPr>
        <w:commentReference w:id="13"/>
      </w:r>
      <w:r w:rsidR="00B0339B" w:rsidRPr="00B0339B">
        <w:rPr>
          <w:rFonts w:ascii="Times New Roman" w:hAnsi="Times New Roman" w:cs="Times New Roman"/>
          <w:sz w:val="24"/>
          <w:szCs w:val="24"/>
        </w:rPr>
        <w:t>, identify the actions required to accomplish objectives, plan your activities appropriately and evaluate the workability of the prior set plan of action</w:t>
      </w:r>
      <w:r w:rsidR="00F11303">
        <w:rPr>
          <w:rFonts w:ascii="Times New Roman" w:hAnsi="Times New Roman" w:cs="Times New Roman"/>
          <w:sz w:val="24"/>
          <w:szCs w:val="24"/>
        </w:rPr>
        <w:t xml:space="preserve"> (Buratti 1049-1130).</w:t>
      </w:r>
      <w:r>
        <w:rPr>
          <w:rStyle w:val="CommentReference"/>
        </w:rPr>
        <w:commentReference w:id="10"/>
      </w:r>
      <w:r>
        <w:rPr>
          <w:rStyle w:val="CommentReference"/>
        </w:rPr>
        <w:commentReference w:id="12"/>
      </w:r>
    </w:p>
    <w:p w14:paraId="60B3F9B6" w14:textId="77777777" w:rsidR="00B0339B" w:rsidRDefault="000C3D20" w:rsidP="000F057A">
      <w:pPr>
        <w:rPr>
          <w:rFonts w:ascii="Times New Roman" w:hAnsi="Times New Roman" w:cs="Times New Roman"/>
          <w:sz w:val="24"/>
          <w:szCs w:val="24"/>
        </w:rPr>
      </w:pPr>
      <w:r>
        <w:rPr>
          <w:rFonts w:ascii="Times New Roman" w:hAnsi="Times New Roman" w:cs="Times New Roman"/>
          <w:sz w:val="24"/>
          <w:szCs w:val="24"/>
        </w:rPr>
        <w:br w:type="page"/>
      </w:r>
    </w:p>
    <w:p w14:paraId="737FA8F6" w14:textId="77777777" w:rsidR="00B0339B" w:rsidRDefault="000C3D20" w:rsidP="004260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381CA26" w14:textId="77777777" w:rsidR="00B0339B" w:rsidRPr="00F11303" w:rsidRDefault="000C3D20" w:rsidP="000F057A">
      <w:pPr>
        <w:spacing w:line="480" w:lineRule="auto"/>
        <w:ind w:left="720" w:hanging="720"/>
        <w:rPr>
          <w:rFonts w:ascii="Times New Roman" w:hAnsi="Times New Roman" w:cs="Times New Roman"/>
          <w:color w:val="222222"/>
          <w:sz w:val="24"/>
          <w:szCs w:val="24"/>
          <w:shd w:val="clear" w:color="auto" w:fill="FFFFFF"/>
        </w:rPr>
      </w:pPr>
      <w:r w:rsidRPr="00F11303">
        <w:rPr>
          <w:rFonts w:ascii="Times New Roman" w:hAnsi="Times New Roman" w:cs="Times New Roman"/>
          <w:color w:val="222222"/>
          <w:sz w:val="24"/>
          <w:szCs w:val="24"/>
          <w:shd w:val="clear" w:color="auto" w:fill="FFFFFF"/>
        </w:rPr>
        <w:t>Buratti, Franca M., et al. "Cyanotoxins: producing organisms, occurrence, toxicity, mechanism of action and human health toxicological risk evaluation." </w:t>
      </w:r>
      <w:r w:rsidRPr="00F11303">
        <w:rPr>
          <w:rFonts w:ascii="Times New Roman" w:hAnsi="Times New Roman" w:cs="Times New Roman"/>
          <w:i/>
          <w:iCs/>
          <w:color w:val="222222"/>
          <w:sz w:val="24"/>
          <w:szCs w:val="24"/>
          <w:shd w:val="clear" w:color="auto" w:fill="FFFFFF"/>
        </w:rPr>
        <w:t>Archives of Toxicology</w:t>
      </w:r>
      <w:r w:rsidRPr="00F11303">
        <w:rPr>
          <w:rFonts w:ascii="Times New Roman" w:hAnsi="Times New Roman" w:cs="Times New Roman"/>
          <w:color w:val="222222"/>
          <w:sz w:val="24"/>
          <w:szCs w:val="24"/>
          <w:shd w:val="clear" w:color="auto" w:fill="FFFFFF"/>
        </w:rPr>
        <w:t xml:space="preserve"> 91.3 (2017): </w:t>
      </w:r>
      <w:r w:rsidRPr="00F11303">
        <w:rPr>
          <w:rFonts w:ascii="Times New Roman" w:hAnsi="Times New Roman" w:cs="Times New Roman"/>
          <w:color w:val="222222"/>
          <w:sz w:val="24"/>
          <w:szCs w:val="24"/>
          <w:shd w:val="clear" w:color="auto" w:fill="FFFFFF"/>
        </w:rPr>
        <w:t>1049-1130.</w:t>
      </w:r>
    </w:p>
    <w:p w14:paraId="29928722" w14:textId="77777777" w:rsidR="00F11303" w:rsidRPr="00F11303" w:rsidRDefault="000C3D20" w:rsidP="000F057A">
      <w:pPr>
        <w:spacing w:line="480" w:lineRule="auto"/>
        <w:ind w:left="720" w:hanging="720"/>
        <w:rPr>
          <w:rFonts w:ascii="Times New Roman" w:hAnsi="Times New Roman" w:cs="Times New Roman"/>
          <w:sz w:val="24"/>
          <w:szCs w:val="24"/>
        </w:rPr>
      </w:pPr>
      <w:r w:rsidRPr="00F11303">
        <w:rPr>
          <w:rFonts w:ascii="Times New Roman" w:hAnsi="Times New Roman" w:cs="Times New Roman"/>
          <w:color w:val="222222"/>
          <w:sz w:val="24"/>
          <w:szCs w:val="24"/>
          <w:shd w:val="clear" w:color="auto" w:fill="FFFFFF"/>
        </w:rPr>
        <w:t>Lin, Xiao, et al. "Impaired risk evaluation in people with Internet gaming disorder: fMRI evidence from a probability discounting task." </w:t>
      </w:r>
      <w:r w:rsidRPr="00F11303">
        <w:rPr>
          <w:rFonts w:ascii="Times New Roman" w:hAnsi="Times New Roman" w:cs="Times New Roman"/>
          <w:i/>
          <w:iCs/>
          <w:color w:val="222222"/>
          <w:sz w:val="24"/>
          <w:szCs w:val="24"/>
          <w:shd w:val="clear" w:color="auto" w:fill="FFFFFF"/>
        </w:rPr>
        <w:t>Progress in Neuro-Psychopharmacology and Biological Psychiatry</w:t>
      </w:r>
      <w:r w:rsidRPr="00F11303">
        <w:rPr>
          <w:rFonts w:ascii="Times New Roman" w:hAnsi="Times New Roman" w:cs="Times New Roman"/>
          <w:color w:val="222222"/>
          <w:sz w:val="24"/>
          <w:szCs w:val="24"/>
          <w:shd w:val="clear" w:color="auto" w:fill="FFFFFF"/>
        </w:rPr>
        <w:t> 56 (2015): 142-148.</w:t>
      </w:r>
    </w:p>
    <w:sectPr w:rsidR="00F11303" w:rsidRPr="00F11303" w:rsidSect="00754713">
      <w:headerReference w:type="default" r:id="rId9"/>
      <w:headerReference w:type="firs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Grammarly" w:date="2018-04-08T22:41:00Z" w:initials="G">
    <w:p w14:paraId="2854CD26" w14:textId="77777777" w:rsidR="004C16E3" w:rsidRDefault="000C3D20">
      <w:r>
        <w:t>Inserted: ial</w:t>
      </w:r>
    </w:p>
  </w:comment>
  <w:comment w:id="3" w:author="Grammarly" w:date="2018-04-08T22:41:00Z" w:initials="G">
    <w:p w14:paraId="1750E0EA" w14:textId="77777777" w:rsidR="004C16E3" w:rsidRDefault="000C3D20">
      <w:r>
        <w:t>Inserted: esse</w:t>
      </w:r>
    </w:p>
  </w:comment>
  <w:comment w:id="7" w:author="Grammarly" w:date="2018-04-08T22:41:00Z" w:initials="G">
    <w:p w14:paraId="27EAEB49" w14:textId="77777777" w:rsidR="004C16E3" w:rsidRDefault="000C3D20">
      <w:r>
        <w:t>Inserted: s</w:t>
      </w:r>
    </w:p>
  </w:comment>
  <w:comment w:id="8" w:author="Grammarly" w:date="2018-04-08T22:41:00Z" w:initials="G">
    <w:p w14:paraId="71D1D345" w14:textId="77777777" w:rsidR="004C16E3" w:rsidRDefault="000C3D20">
      <w:r>
        <w:t>Inserted: nt</w:t>
      </w:r>
    </w:p>
  </w:comment>
  <w:comment w:id="9" w:author="Grammarly" w:date="2018-04-08T22:41:00Z" w:initials="G">
    <w:p w14:paraId="3710B9EF" w14:textId="77777777" w:rsidR="004C16E3" w:rsidRDefault="000C3D20">
      <w:r>
        <w:t>Inserted: signific</w:t>
      </w:r>
    </w:p>
  </w:comment>
  <w:comment w:id="1" w:author="Grammarly" w:date="2018-04-08T22:41:00Z" w:initials="G">
    <w:p w14:paraId="796C9937" w14:textId="77777777" w:rsidR="004C16E3" w:rsidRDefault="000C3D20">
      <w:r>
        <w:t>Deleted:importa</w:t>
      </w:r>
    </w:p>
  </w:comment>
  <w:comment w:id="4" w:author="Grammarly" w:date="2018-04-08T22:41:00Z" w:initials="G">
    <w:p w14:paraId="65F5D1C2" w14:textId="77777777" w:rsidR="004C16E3" w:rsidRDefault="000C3D20">
      <w:r>
        <w:t>Deleted:m</w:t>
      </w:r>
    </w:p>
  </w:comment>
  <w:comment w:id="5" w:author="Grammarly" w:date="2018-04-08T22:41:00Z" w:initials="G">
    <w:p w14:paraId="5756A7DF" w14:textId="77777777" w:rsidR="004C16E3" w:rsidRDefault="000C3D20">
      <w:r>
        <w:t>Deleted:jor</w:t>
      </w:r>
    </w:p>
  </w:comment>
  <w:comment w:id="6" w:author="Grammarly" w:date="2018-04-08T22:41:00Z" w:initials="G">
    <w:p w14:paraId="350C5020" w14:textId="77777777" w:rsidR="004C16E3" w:rsidRDefault="000C3D20">
      <w:r>
        <w:t>Deleted:z</w:t>
      </w:r>
    </w:p>
  </w:comment>
  <w:comment w:id="11" w:author="Grammarly" w:date="2018-04-08T22:41:00Z" w:initials="G">
    <w:p w14:paraId="0EB4E35E" w14:textId="77777777" w:rsidR="004C16E3" w:rsidRDefault="000C3D20">
      <w:r>
        <w:t>Inserted: s</w:t>
      </w:r>
    </w:p>
  </w:comment>
  <w:comment w:id="13" w:author="Grammarly" w:date="2018-04-08T22:41:00Z" w:initials="G">
    <w:p w14:paraId="3E3DDFBC" w14:textId="77777777" w:rsidR="004C16E3" w:rsidRDefault="000C3D20">
      <w:r>
        <w:t>Inserted: s</w:t>
      </w:r>
    </w:p>
  </w:comment>
  <w:comment w:id="10" w:author="Grammarly" w:date="2018-04-08T22:41:00Z" w:initials="G">
    <w:p w14:paraId="1AA6F187" w14:textId="77777777" w:rsidR="004C16E3" w:rsidRDefault="000C3D20">
      <w:r>
        <w:t>Deleted:z</w:t>
      </w:r>
    </w:p>
  </w:comment>
  <w:comment w:id="12" w:author="Grammarly" w:date="2018-04-08T22:41:00Z" w:initials="G">
    <w:p w14:paraId="55E333B5" w14:textId="77777777" w:rsidR="004C16E3" w:rsidRDefault="000C3D20">
      <w:r>
        <w:t>Deleted:z</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854CD26" w15:done="0"/>
  <w15:commentEx w15:paraId="1750E0EA" w15:done="0"/>
  <w15:commentEx w15:paraId="27EAEB49" w15:done="0"/>
  <w15:commentEx w15:paraId="71D1D345" w15:done="0"/>
  <w15:commentEx w15:paraId="3710B9EF" w15:done="0"/>
  <w15:commentEx w15:paraId="796C9937" w15:done="0"/>
  <w15:commentEx w15:paraId="65F5D1C2" w15:done="0"/>
  <w15:commentEx w15:paraId="5756A7DF" w15:done="0"/>
  <w15:commentEx w15:paraId="350C5020" w15:done="0"/>
  <w15:commentEx w15:paraId="0EB4E35E" w15:done="0"/>
  <w15:commentEx w15:paraId="3E3DDFBC" w15:done="0"/>
  <w15:commentEx w15:paraId="1AA6F187" w15:done="0"/>
  <w15:commentEx w15:paraId="55E333B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90ED7" w14:textId="77777777" w:rsidR="000C3D20" w:rsidRDefault="000C3D20">
      <w:pPr>
        <w:spacing w:after="0" w:line="240" w:lineRule="auto"/>
      </w:pPr>
      <w:r>
        <w:separator/>
      </w:r>
    </w:p>
  </w:endnote>
  <w:endnote w:type="continuationSeparator" w:id="0">
    <w:p w14:paraId="544AD9FD" w14:textId="77777777" w:rsidR="000C3D20" w:rsidRDefault="000C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F7B251" w14:textId="77777777" w:rsidR="000C3D20" w:rsidRDefault="000C3D20">
      <w:pPr>
        <w:spacing w:after="0" w:line="240" w:lineRule="auto"/>
      </w:pPr>
      <w:r>
        <w:separator/>
      </w:r>
    </w:p>
  </w:footnote>
  <w:footnote w:type="continuationSeparator" w:id="0">
    <w:p w14:paraId="6802F6E3" w14:textId="77777777" w:rsidR="000C3D20" w:rsidRDefault="000C3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DB321" w14:textId="0C0356EB" w:rsidR="00754713" w:rsidRPr="00754713" w:rsidRDefault="000C3D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45F7D" w:rsidRPr="00754713">
      <w:rPr>
        <w:rFonts w:ascii="Times New Roman" w:hAnsi="Times New Roman" w:cs="Times New Roman"/>
        <w:sz w:val="24"/>
        <w:szCs w:val="24"/>
      </w:rPr>
      <w:t xml:space="preserve">Surname </w:t>
    </w:r>
    <w:r w:rsidRPr="00754713">
      <w:rPr>
        <w:rFonts w:ascii="Times New Roman" w:hAnsi="Times New Roman" w:cs="Times New Roman"/>
        <w:sz w:val="24"/>
        <w:szCs w:val="24"/>
      </w:rPr>
      <w:fldChar w:fldCharType="begin"/>
    </w:r>
    <w:r w:rsidRPr="00754713">
      <w:rPr>
        <w:rFonts w:ascii="Times New Roman" w:hAnsi="Times New Roman" w:cs="Times New Roman"/>
        <w:sz w:val="24"/>
        <w:szCs w:val="24"/>
      </w:rPr>
      <w:instrText xml:space="preserve"> PAGE   \* MERGEFORMAT </w:instrText>
    </w:r>
    <w:r w:rsidRPr="00754713">
      <w:rPr>
        <w:rFonts w:ascii="Times New Roman" w:hAnsi="Times New Roman" w:cs="Times New Roman"/>
        <w:sz w:val="24"/>
        <w:szCs w:val="24"/>
      </w:rPr>
      <w:fldChar w:fldCharType="separate"/>
    </w:r>
    <w:r w:rsidR="006E1F80">
      <w:rPr>
        <w:rFonts w:ascii="Times New Roman" w:hAnsi="Times New Roman" w:cs="Times New Roman"/>
        <w:noProof/>
        <w:sz w:val="24"/>
        <w:szCs w:val="24"/>
      </w:rPr>
      <w:t>3</w:t>
    </w:r>
    <w:r w:rsidRPr="00754713">
      <w:rPr>
        <w:rFonts w:ascii="Times New Roman" w:hAnsi="Times New Roman" w:cs="Times New Roman"/>
        <w:noProof/>
        <w:sz w:val="24"/>
        <w:szCs w:val="24"/>
      </w:rPr>
      <w:fldChar w:fldCharType="end"/>
    </w:r>
  </w:p>
  <w:p w14:paraId="6C124285" w14:textId="77777777" w:rsidR="00F11303" w:rsidRDefault="00F113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7FB56" w14:textId="0064FD76" w:rsidR="00754713" w:rsidRDefault="000C3D20">
    <w:pPr>
      <w:pStyle w:val="Header"/>
    </w:pPr>
    <w:sdt>
      <w:sdtPr>
        <w:id w:val="2058892430"/>
        <w:docPartObj>
          <w:docPartGallery w:val="Page Numbers (Margins)"/>
          <w:docPartUnique/>
        </w:docPartObj>
      </w:sdtPr>
      <w:sdtEndPr/>
      <w:sdtContent>
        <w:r>
          <w:rPr>
            <w:noProof/>
            <w:lang w:val="en-GB" w:eastAsia="en-GB"/>
          </w:rPr>
          <mc:AlternateContent>
            <mc:Choice Requires="wps">
              <w:drawing>
                <wp:anchor distT="0" distB="0" distL="114300" distR="114300" simplePos="0" relativeHeight="251658240" behindDoc="0" locked="0" layoutInCell="0" allowOverlap="1">
                  <wp:simplePos x="0" y="0"/>
                  <wp:positionH relativeFrom="lef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68299" w14:textId="77777777" w:rsidR="00754713" w:rsidRDefault="000C3D2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Pr="0075471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anchor="ctr" anchorCtr="0" upright="1">
                          <a:sp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2049" style="width:40.2pt;height:171.9pt;margin-top:0;margin-left:0;mso-height-percent:0;mso-height-relative:page;mso-position-horizontal:center;mso-position-horizontal-relative:left-margin-area;mso-position-vertical:bottom;mso-position-vertical-relative:margin;mso-width-percent:0;mso-width-relative:page;mso-wrap-distance-bottom:0;mso-wrap-distance-left:9pt;mso-wrap-distance-right:9pt;mso-wrap-distance-top:0;mso-wrap-style:square;position:absolute;visibility:visible;v-text-anchor:middle;z-index:251659264" o:allowincell="f" filled="f" stroked="f">
                  <v:textbox style="layout-flow:vertical;mso-fit-shape-to-text:t;mso-layout-flow-alt:bottom-to-top">
                    <w:txbxContent>
                      <w:p w:rsidR="00754713" w14:paraId="6941FBE8" w14:textId="7777777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Pr="0075471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y="margin"/>
                </v:rect>
              </w:pict>
            </mc:Fallback>
          </mc:AlternateContent>
        </w:r>
      </w:sdtContent>
    </w:sdt>
    <w:r>
      <w:t xml:space="preserve">SURNAME </w:t>
    </w:r>
  </w:p>
  <w:p w14:paraId="594655D0" w14:textId="77777777" w:rsidR="00F11303" w:rsidRDefault="00F11303" w:rsidP="00754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2F0"/>
    <w:rsid w:val="000C3D20"/>
    <w:rsid w:val="000F057A"/>
    <w:rsid w:val="003806CC"/>
    <w:rsid w:val="00426055"/>
    <w:rsid w:val="004C16E3"/>
    <w:rsid w:val="00567526"/>
    <w:rsid w:val="005C1F9C"/>
    <w:rsid w:val="006E1F80"/>
    <w:rsid w:val="00754713"/>
    <w:rsid w:val="007D0C83"/>
    <w:rsid w:val="00812076"/>
    <w:rsid w:val="008672F0"/>
    <w:rsid w:val="00A70213"/>
    <w:rsid w:val="00A91081"/>
    <w:rsid w:val="00B0339B"/>
    <w:rsid w:val="00BF31B2"/>
    <w:rsid w:val="00C45F7D"/>
    <w:rsid w:val="00D61891"/>
    <w:rsid w:val="00DD7795"/>
    <w:rsid w:val="00EB19BF"/>
    <w:rsid w:val="00EE789B"/>
    <w:rsid w:val="00F11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F3747-000E-4409-BE47-9B2B3E7C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303"/>
  </w:style>
  <w:style w:type="paragraph" w:styleId="Footer">
    <w:name w:val="footer"/>
    <w:basedOn w:val="Normal"/>
    <w:link w:val="FooterChar"/>
    <w:uiPriority w:val="99"/>
    <w:unhideWhenUsed/>
    <w:rsid w:val="00F11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30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0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6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FD13E-DA34-43C4-A2B3-176D69779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2018-04-08T22:42:00Z</dcterms:created>
  <dcterms:modified xsi:type="dcterms:W3CDTF">2018-04-08T22:42:00Z</dcterms:modified>
</cp:coreProperties>
</file>